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Analiza obrazovne strukture stanovništva za gradove Novi Pazar, Kraljevo i Čačak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Obrazovna struktura stanovništva predstavlja ključni indikator socio-ekonomskog razvoja i potencijala zajednice. Ova analiza obuhvata gradove Novi Pazar, Kraljevo i Čačak, pružajući komparativni uvid u trenutne obrazovne karakteristike stanovništva. Kroz p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oređenje ključnih obrazovnih kategorija, rodnih razlika i udela visokoobrazovanih stanovnika, cilj je identifikovati zajedničke trendove, specifične izazove i prilike za unapređenje obrazovnih politika.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240" w:after="24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Svi udeli i procenti se u ovoj analizi odnose na ukupan broj stanovnika starijih od 15 godina, jer je tako dato u osnovnom dokumentu sa podacima o obrazovnoj strukturi stanovnika: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3_stanovnistvo-staro-15-i-vise-godina-prema-skolskoj-spremi-i-polu.xlsx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koji je dostupan na internet prezentaciji Republičkog zavoda za statistiku, na stanici: </w:t>
      </w:r>
      <w:r>
        <w:rPr>
          <w:rFonts w:ascii="Times New Roman" w:hAnsi="Times New Roman" w:eastAsia="Times New Roman" w:cs="Times New Roman"/>
          <w:color w:val="000000"/>
          <w:sz w:val="24"/>
        </w:rPr>
      </w:r>
      <w:hyperlink r:id="rId11" w:tooltip="https://popis2022.stat.gov.rs/sr-Latn/popisni-podaci-eksel-tabele/" w:history="1">
        <w:r>
          <w:rPr>
            <w:rStyle w:val="1025"/>
            <w:rFonts w:ascii="Times New Roman" w:hAnsi="Times New Roman" w:eastAsia="Times New Roman" w:cs="Times New Roman"/>
            <w:sz w:val="24"/>
          </w:rPr>
          <w:t xml:space="preserve">https://popis2022.stat.gov.rs/sr-Latn/popisni-podaci-eksel-tabele/</w:t>
        </w:r>
        <w:r>
          <w:rPr>
            <w:rStyle w:val="1025"/>
            <w:rFonts w:ascii="Times New Roman" w:hAnsi="Times New Roman" w:eastAsia="Times New Roman" w:cs="Times New Roman"/>
            <w:sz w:val="24"/>
          </w:rPr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71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 Analiza obrazovne strukture stanovništva grada Novog Pazara</w:t>
      </w:r>
      <w:r>
        <w:rPr>
          <w:rFonts w:ascii="Times New Roman" w:hAnsi="Times New Roman" w:eastAsia="Times New Roman" w:cs="Times New Roman"/>
          <w:sz w:val="28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Obrazovna struktura stanovništva predstavlja ključan pokazatelj demografskog, ekonomskog i društvenog razvoja zajednice. Analiza obrazovne strukture omogućava uvid u trenutne resurse ljudskog kapitala i identifikaciju potreba za unapređenjem obrazovnih i d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rugih javnih politika. Takođe, pruža osnovu za planiranje zapošljavanja, razvoja privrede i društvenih programa. Cilj ove analize je da se detaljno sagleda obrazovna struktura stanovništva Novog Pazara, kako bi se identifikovali ključni izazovi i mogućnost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i za unapređenje.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1: Obrazovna struktura stanovništva Novog Pazara i udeli obrazovnih kategorija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375"/>
        <w:gridCol w:w="1650"/>
        <w:gridCol w:w="28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Obrazovna kategorija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 starijih od 15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u ukupnom broju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84.077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Bez školske spreme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1,30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Nepotpuno 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3,61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23.640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28,12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Srednje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43.975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52,28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2.181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2,59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Visoko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5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9.715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86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11,55</w:t>
            </w:r>
            <w:r/>
          </w:p>
        </w:tc>
      </w:tr>
    </w:tbl>
    <w:p>
      <w:pPr>
        <w:pStyle w:val="873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1</w:t>
      </w:r>
      <w:r/>
    </w:p>
    <w:p>
      <w:pPr>
        <w:pStyle w:val="1047"/>
        <w:numPr>
          <w:ilvl w:val="0"/>
          <w:numId w:val="7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srednjeg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Najveći procenat stanovnika (52,28%) ima završeno srednje obrazovanje, što odražava uobičajenu strukturu u urbanim sredinama Srbije.</w:t>
      </w:r>
      <w:r/>
    </w:p>
    <w:p>
      <w:pPr>
        <w:pStyle w:val="1047"/>
        <w:numPr>
          <w:ilvl w:val="0"/>
          <w:numId w:val="7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udeo osnovnog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Gotovo trećina stanovnika (28,12%) ima završeno osnovno obrazovanje, što može ukazivati na niži nivo obrazovnih dostignuća u nekim segmentima populacije.</w:t>
      </w:r>
      <w:r/>
    </w:p>
    <w:p>
      <w:pPr>
        <w:pStyle w:val="1047"/>
        <w:numPr>
          <w:ilvl w:val="0"/>
          <w:numId w:val="7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Nizak nivo visokog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Udeo stanovnika sa višim (2,59%) i visokim obrazovanjem (11,55%) je ukupno 14,14%, što je relativno nizak procenat za razvijene sredine i ukazuje na potrebu za daljim ulaganjem u visoko obrazovanje.</w:t>
      </w:r>
      <w:r/>
    </w:p>
    <w:p>
      <w:pPr>
        <w:pStyle w:val="1047"/>
        <w:numPr>
          <w:ilvl w:val="0"/>
          <w:numId w:val="7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Problem nepismenosti i niske obrazovne osnove: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Iako udeo stanovnika bez školske spreme iznosi samo 1,30%, dodatni 3,61% ima nepotpuno osnovno obrazovanje, što ukazuje na problem ranog napuštanja školovanja.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2: Udeo muškaraca i žena u okviru svake obrazovne kategorije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3375"/>
        <w:gridCol w:w="840"/>
        <w:gridCol w:w="1455"/>
        <w:gridCol w:w="9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Obrazovna kategorija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Muškarci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Žene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Bez školske spreme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1.092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24,45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75,55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Nepotpuno 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3.035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28,04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71,96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23.640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45,49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54,51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Srednje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43.975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53,65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46,35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2.181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44,25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Visoko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9.715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46,88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53,12</w:t>
            </w:r>
            <w:r/>
          </w:p>
        </w:tc>
      </w:tr>
    </w:tbl>
    <w:p>
      <w:pPr>
        <w:pStyle w:val="873"/>
        <w:ind w:left="0" w:right="0" w:firstLine="0"/>
        <w:jc w:val="center"/>
        <w:spacing w:before="319" w:after="319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311657" cy="2666041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540226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 flipH="0" flipV="0">
                          <a:off x="0" y="0"/>
                          <a:ext cx="4311657" cy="2666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339.5pt;height:209.9pt;mso-wrap-distance-left:0.0pt;mso-wrap-distance-top:0.0pt;mso-wrap-distance-right:0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873"/>
        <w:ind w:left="0" w:right="0" w:firstLine="0"/>
        <w:jc w:val="both"/>
        <w:spacing w:before="319" w:after="319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2</w:t>
      </w:r>
      <w:r/>
    </w:p>
    <w:p>
      <w:pPr>
        <w:pStyle w:val="1047"/>
        <w:numPr>
          <w:ilvl w:val="0"/>
          <w:numId w:val="7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žena u nižim obrazovnim kategorijama: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Veći udeo žena prisutan je u kategorijama bez školske spreme (75,55%) i nepotpunog osnovnog obrazovanja (71,96%), što može ukazivati na socio-ekonomske prepreke u pristupu obrazovanju za žene starijih generacija.</w:t>
      </w:r>
      <w:r/>
    </w:p>
    <w:p>
      <w:pPr>
        <w:pStyle w:val="1047"/>
        <w:numPr>
          <w:ilvl w:val="0"/>
          <w:numId w:val="7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Muška dominacija u višem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kategorijama srednjeg i višeg obrazovanja dominiraju muškarci (53,65% i 55,75%), što odražava tradicionalne rodne uloge u pogledu pristupa obrazovanju.</w:t>
      </w:r>
      <w:r/>
    </w:p>
    <w:p>
      <w:pPr>
        <w:pStyle w:val="1047"/>
        <w:numPr>
          <w:ilvl w:val="0"/>
          <w:numId w:val="7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Više žena sa visokim obrazovanjem: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čine veći udeo u kategoriji visokog obrazovanja (53,12%), što ukazuje na pozitivne promene u obrazovnim trendovima mlađih generacija.</w:t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3: Udeo stanovnika sa višim i visokim obrazovanjem u populaciji starijoj od 15 godina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85"/>
        <w:gridCol w:w="840"/>
        <w:gridCol w:w="990"/>
        <w:gridCol w:w="6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Obrazovna kategorija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Muškarci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Žene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i visoko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11.896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5.770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6.126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stanovnika (15+)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84.077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41.450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42.627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u ukupnom stanovništvu (15+)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14,37</w:t>
            </w:r>
            <w:r/>
          </w:p>
        </w:tc>
      </w:tr>
    </w:tbl>
    <w:p>
      <w:pPr>
        <w:pStyle w:val="873"/>
        <w:ind w:left="0" w:right="0" w:firstLine="0"/>
        <w:jc w:val="center"/>
        <w:spacing w:before="319" w:after="319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95760" cy="2656211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0168361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 flipH="0" flipV="0">
                          <a:off x="0" y="0"/>
                          <a:ext cx="4295759" cy="2656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338.2pt;height:209.2pt;mso-wrap-distance-left:0.0pt;mso-wrap-distance-top:0.0pt;mso-wrap-distance-right:0.0pt;mso-wrap-distance-bottom:0.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873"/>
        <w:ind w:left="0" w:right="0" w:firstLine="0"/>
        <w:jc w:val="both"/>
        <w:spacing w:before="319" w:after="319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3</w:t>
      </w:r>
      <w:r/>
    </w:p>
    <w:p>
      <w:pPr>
        <w:pStyle w:val="1047"/>
        <w:numPr>
          <w:ilvl w:val="0"/>
          <w:numId w:val="7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visokoobrazovanih osoba: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Samo 14,14% stanovnika starijih od 15 godina ima završeno više ili visoko obrazovanje, što ukazuje na potrebu za daljim ulaganjem u obrazovni sistem i promociju visokog obrazovanja.</w:t>
      </w:r>
      <w:r/>
    </w:p>
    <w:p>
      <w:pPr>
        <w:pStyle w:val="1047"/>
        <w:numPr>
          <w:ilvl w:val="0"/>
          <w:numId w:val="7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Blaga dominacija žena: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čine nešto veći udeo u kategoriji višeg i visokog obrazovanja (14,37%) u odnosu na muškarce (13,92%), što ukazuje na promene u obrazovnim trendovima u korist žena.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Zaključci</w:t>
      </w:r>
      <w:r/>
    </w:p>
    <w:p>
      <w:pPr>
        <w:pStyle w:val="1047"/>
        <w:numPr>
          <w:ilvl w:val="0"/>
          <w:numId w:val="7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Srednje obrazovanje dominira: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Najveći deo populacije ima završeno srednje obrazovanje, ali značajan procenat stanovnika ima samo osnovno obrazovanje, što ukazuje na potencijalne izazove u kvalifikaciji radne snage.</w:t>
      </w:r>
      <w:r/>
    </w:p>
    <w:p>
      <w:pPr>
        <w:pStyle w:val="1047"/>
        <w:numPr>
          <w:ilvl w:val="0"/>
          <w:numId w:val="7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Nizak nivo visokog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Udeo visokoobrazovanih stanovnika je ispod nacionalnog proseka, što može ograničiti socio-ekonomski razvoj grada.</w:t>
      </w:r>
      <w:r/>
    </w:p>
    <w:p>
      <w:pPr>
        <w:pStyle w:val="1047"/>
        <w:numPr>
          <w:ilvl w:val="0"/>
          <w:numId w:val="73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Rodni jaz: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su nadzastupljene u nižim obrazovnim kategorijama, ali imaju blagu prednost u visokom obrazovanju, što ukazuje na pozitivne promene među mlađim generacijama.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 za unapređenje javnih politika</w:t>
      </w:r>
      <w:r/>
    </w:p>
    <w:p>
      <w:pPr>
        <w:pStyle w:val="1047"/>
        <w:numPr>
          <w:ilvl w:val="0"/>
          <w:numId w:val="7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Podsticanje visokog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Uvesti programe stipendiranja, subvencionisanja školarina i profesionalne obuke kako bi se povećao broj visokoobrazovanih stanovnika.</w:t>
      </w:r>
      <w:r/>
    </w:p>
    <w:p>
      <w:pPr>
        <w:pStyle w:val="1047"/>
        <w:numPr>
          <w:ilvl w:val="0"/>
          <w:numId w:val="7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Smanjenje rodnih razlika: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Implementirati politike za unapređenje pristupa obrazovanju za žene starijih generacija, uključujući programe pismenosti i dodatne edukacije.</w:t>
      </w:r>
      <w:r/>
    </w:p>
    <w:p>
      <w:pPr>
        <w:pStyle w:val="1047"/>
        <w:numPr>
          <w:ilvl w:val="0"/>
          <w:numId w:val="7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ranom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Unaprediti pristup osnovnom i srednjem obrazovanju kroz finansijske olakšice i infrastrukturu, posebno u ruralnim delovima grada.</w:t>
      </w:r>
      <w:r/>
    </w:p>
    <w:p>
      <w:pPr>
        <w:pStyle w:val="1047"/>
        <w:numPr>
          <w:ilvl w:val="0"/>
          <w:numId w:val="7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lokalne ekonomije: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Povezivanje obrazovanja sa lokalnim privrednim sektorima kako bi se smanjila nezaposlenost i povećala kvalifikovanost radne snage.</w:t>
      </w:r>
      <w:r/>
    </w:p>
    <w:p>
      <w:pPr>
        <w:pStyle w:val="1047"/>
        <w:numPr>
          <w:ilvl w:val="0"/>
          <w:numId w:val="72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Promocija doživotnog učenja: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Uvesti programe za obrazovanje odraslih kako bi se poboljšali kvalifikacioni nivo i mobilnost radne snage.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naglašava važnost ciljanih javnih politika kako bi Novi Pazar mogao unaprediti obrazovni nivo svog stanovništva i doprineti dugoročnom razvoju.</w:t>
      </w:r>
      <w:r/>
    </w:p>
    <w:p>
      <w:pPr>
        <w:pStyle w:val="871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71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 Analiza obrazovne strukture stanovništva grada Kraljeva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Analiza obrazovne strukture stanovništva pruža dragocene uvide u demografske i socio-ekonomske karakteristike zajednice. Obrazovanje predstavlja ključan resurs za lokalni razvoj, zapošljavanje i unapređenje kvaliteta života. Cilj ove analize je da sagleda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trenutnu obrazovnu strukturu stanovništva Kraljeva, identifikuje ključne izazove i mogućnosti, i predloži mere za unapređenje obrazovnih i drugih javnih politika.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1: Obrazovna struktura stanovništva Kraljeva i udeli obrazovnih kategorija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2409"/>
        <w:gridCol w:w="238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Obrazovna kategorija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 starijih od 15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u ukupnom broju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95.229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Bez školske spreme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Nepotpuno 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5.588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5,87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16.823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17,67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Srednje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53.351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56,04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5.681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5,97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9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Visoko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40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12.737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13,37</w:t>
            </w:r>
            <w:r/>
          </w:p>
        </w:tc>
      </w:tr>
    </w:tbl>
    <w:p>
      <w:pPr>
        <w:pStyle w:val="873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1</w:t>
      </w:r>
      <w:r/>
    </w:p>
    <w:p>
      <w:pPr>
        <w:pStyle w:val="1047"/>
        <w:numPr>
          <w:ilvl w:val="0"/>
          <w:numId w:val="7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srednjeg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Više od polovine stanovništva (56,04%) ima završeno srednje obrazovanje, što je karakteristično za razvijenije urbane sredine.</w:t>
      </w:r>
      <w:r/>
    </w:p>
    <w:p>
      <w:pPr>
        <w:pStyle w:val="1047"/>
        <w:numPr>
          <w:ilvl w:val="0"/>
          <w:numId w:val="7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visokoobrazovanih: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Stanovnici sa višim (5,97%) i visokim obrazovanjem (13,37%) ukupno čine 19,34% populacije, što je relativno povoljna struktura u poređenju sa nacionalnim prosekom.</w:t>
      </w:r>
      <w:r/>
    </w:p>
    <w:p>
      <w:pPr>
        <w:pStyle w:val="1047"/>
        <w:numPr>
          <w:ilvl w:val="0"/>
          <w:numId w:val="7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Nizak udeo bez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Samo 0,75% stanovnika nema školsku spremu, što ukazuje na visok nivo pismenosti i pristupa osnovnom obrazovanju.</w:t>
      </w:r>
      <w:r/>
    </w:p>
    <w:p>
      <w:pPr>
        <w:pStyle w:val="1047"/>
        <w:numPr>
          <w:ilvl w:val="0"/>
          <w:numId w:val="71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Značajan udeo osnovnog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Gotovo 17,67% stanovnika ima završeno samo osnovno obrazovanje, što ukazuje na potrebu za unapređenjem obrazovnih programa i podsticaja za dalje školovanje.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2: Udeo muškaraca i žena u okviru svake obrazovne kategorije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857"/>
        <w:gridCol w:w="1649"/>
        <w:gridCol w:w="11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Obrazovna kategorija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Muškarci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Žene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Bez školske spreme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77,88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Nepotpuno 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5.588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27,79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72,21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16.823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44,99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55,01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Srednje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53.351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46,52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5.681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47,43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52,57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Visoko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12.737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44,87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55,13</w:t>
            </w:r>
            <w:r/>
          </w:p>
        </w:tc>
      </w:tr>
    </w:tbl>
    <w:p>
      <w:pPr>
        <w:pStyle w:val="873"/>
        <w:ind w:left="0" w:right="0" w:firstLine="0"/>
        <w:jc w:val="both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2</w:t>
      </w:r>
      <w:r/>
    </w:p>
    <w:p>
      <w:pPr>
        <w:pStyle w:val="1047"/>
        <w:numPr>
          <w:ilvl w:val="0"/>
          <w:numId w:val="7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Viši udeo žena u nižim obrazovnim kategorijama: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su dominantne u kategorijama bez školske spreme (77,88%) i nepotpunog osnovnog obrazovanja (72,21%), što odražava prepreke u obrazovanju za starije generacije žena.</w:t>
      </w:r>
      <w:r/>
    </w:p>
    <w:p>
      <w:pPr>
        <w:pStyle w:val="1047"/>
        <w:numPr>
          <w:ilvl w:val="0"/>
          <w:numId w:val="7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Balans u višem i visokom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čine veći deo populacije sa višim obrazovanjem (52,57%) i visokim obrazovanjem (55,13%), što ukazuje na pozitivne trendove obrazovanja među mlađim generacijama.</w:t>
      </w:r>
      <w:r/>
    </w:p>
    <w:p>
      <w:pPr>
        <w:pStyle w:val="1047"/>
        <w:numPr>
          <w:ilvl w:val="0"/>
          <w:numId w:val="7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muškaraca u srednjem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Muškarci su zastupljeniji u kategoriji srednjeg obrazovanja (53,48%), što je povezano sa većim udelom muškaraca u tehničkim i zanatskim zanimanjima.</w:t>
      </w:r>
      <w:r/>
    </w:p>
    <w:p>
      <w:pPr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405329" cy="2723962"/>
                <wp:effectExtent l="0" t="0" r="0" b="0"/>
                <wp:docPr id="5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009277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H="0" flipV="0">
                          <a:off x="0" y="0"/>
                          <a:ext cx="4405329" cy="27239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346.9pt;height:214.5pt;mso-wrap-distance-left:0.0pt;mso-wrap-distance-top:0.0pt;mso-wrap-distance-right:0.0pt;mso-wrap-distance-bottom:0.0pt;" stroked="false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71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3: Udeo stanovnika sa višim i visokim obrazovanjem u populaciji starijoj od 15 godina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85"/>
        <w:gridCol w:w="840"/>
        <w:gridCol w:w="990"/>
        <w:gridCol w:w="6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Obrazovna kategorija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Muškarci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Žene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i visoko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18.418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8.410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10.008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stanovnika (15+)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95.229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46.406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48.823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185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u ukupnom stanovništvu (15+)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6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20,50</w:t>
            </w:r>
            <w:r/>
          </w:p>
        </w:tc>
      </w:tr>
    </w:tbl>
    <w:p>
      <w:pPr>
        <w:pStyle w:val="873"/>
        <w:contextualSpacing w:val="0"/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61255" cy="2634876"/>
                <wp:effectExtent l="0" t="0" r="0" b="0"/>
                <wp:docPr id="6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657264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0" flipH="0" flipV="0">
                          <a:off x="0" y="0"/>
                          <a:ext cx="4261254" cy="26348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335.5pt;height:207.5pt;mso-wrap-distance-left:0.0pt;mso-wrap-distance-top:0.0pt;mso-wrap-distance-right:0.0pt;mso-wrap-distance-bottom:0.0pt;rotation:0;" stroked="false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r/>
      <w:r/>
    </w:p>
    <w:p>
      <w:pPr>
        <w:pStyle w:val="873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3</w:t>
      </w:r>
      <w:r/>
    </w:p>
    <w:p>
      <w:pPr>
        <w:pStyle w:val="1047"/>
        <w:numPr>
          <w:ilvl w:val="0"/>
          <w:numId w:val="78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visokoobrazovanih: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Udeo stanovnika sa višim i visokim obrazovanjem u populaciji starijoj od 15 godina iznosi 19,34%, što je povoljan pokazatelj u poređenju sa prosekom u Srbiji.</w:t>
      </w:r>
      <w:r/>
    </w:p>
    <w:p>
      <w:pPr>
        <w:pStyle w:val="1047"/>
        <w:numPr>
          <w:ilvl w:val="0"/>
          <w:numId w:val="78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Veći udeo žena: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čine 20,50% visokoobrazovanih u ukupnom broju žena, dok je udeo muškaraca 18,13%. Ovo ukazuje na značajan napredak u obrazovanju žena.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Zaključci</w:t>
      </w:r>
      <w:r/>
    </w:p>
    <w:p>
      <w:pPr>
        <w:pStyle w:val="1047"/>
        <w:numPr>
          <w:ilvl w:val="0"/>
          <w:numId w:val="7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srednjeg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Najveći deo stanovništva ima završeno srednje obrazovanje, što ukazuje na dobar osnov za dalji razvoj radne snage.</w:t>
      </w:r>
      <w:r/>
    </w:p>
    <w:p>
      <w:pPr>
        <w:pStyle w:val="1047"/>
        <w:numPr>
          <w:ilvl w:val="0"/>
          <w:numId w:val="7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Pozitivan trend visokog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Udeo visokoobrazovanih stanovnika (19,34%) je relativno visok, sa blagom dominacijom žena, što ukazuje na rastući značaj visokog obrazovanja među mlađim generacijama.</w:t>
      </w:r>
      <w:r/>
    </w:p>
    <w:p>
      <w:pPr>
        <w:pStyle w:val="1047"/>
        <w:numPr>
          <w:ilvl w:val="0"/>
          <w:numId w:val="7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Izazovi u nižim obrazovnim kategorijama: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starijih generacija imaju značajno niži nivo obrazovanja, što može biti prepreka za njihovo učešće na tržištu rada.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 za unapređenje javnih politika</w:t>
      </w:r>
      <w:r/>
    </w:p>
    <w:p>
      <w:pPr>
        <w:pStyle w:val="1047"/>
        <w:numPr>
          <w:ilvl w:val="0"/>
          <w:numId w:val="8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visokog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Nastaviti sa programima stipendiranja i subvencionisanja za mlade, uz fokus na promociju STEM oblasti i zanatskih zanimanja.</w:t>
      </w:r>
      <w:r/>
    </w:p>
    <w:p>
      <w:pPr>
        <w:pStyle w:val="1047"/>
        <w:numPr>
          <w:ilvl w:val="0"/>
          <w:numId w:val="8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Smanjenje rodnih razlika: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Implementirati programe dodatne edukacije za žene starijih generacija kako bi se unapredila njihova radna i društvena uključenost.</w:t>
      </w:r>
      <w:r/>
    </w:p>
    <w:p>
      <w:pPr>
        <w:pStyle w:val="1047"/>
        <w:numPr>
          <w:ilvl w:val="0"/>
          <w:numId w:val="8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Povećanje kvaliteta srednjeg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Fokusirati se na unapređenje srednjoškolskih programa kroz modernizaciju nastavnih planova i povezivanje sa lokalnom privredom.</w:t>
      </w:r>
      <w:r/>
    </w:p>
    <w:p>
      <w:pPr>
        <w:pStyle w:val="1047"/>
        <w:numPr>
          <w:ilvl w:val="0"/>
          <w:numId w:val="8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Promocija doživotnog učenja: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Kreirati programe za obrazovanje odraslih koji će omogućiti stanovništvu sa nižim obrazovanjem da stekne nove veštine i lakše se integriše na tržište rada.</w:t>
      </w:r>
      <w:r/>
    </w:p>
    <w:p>
      <w:pPr>
        <w:pStyle w:val="1047"/>
        <w:numPr>
          <w:ilvl w:val="0"/>
          <w:numId w:val="8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Lokalni razvoj: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Povezati obrazovne politike sa ekonomskim razvojem Kraljeva kako bi se omogućila bolja iskorišćenost ljudskih resursa.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ističe značajne resurse Kraljeva u obrazovnom smislu, ali i potrebu za strateškim politikama kako bi se smanjile rodne i generacijske razlike u obrazovanju.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71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III Analiza obrazovne strukture stanovništva grada Čačka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Obrazovna struktura stanovništva odražava nivo ljudskog kapitala i ključni je indikator društveno-ekonomskog razvoja lokalne zajednice. Ova analiza pruža uvid u trenutnu obrazovnu strukturu stanovništva Čačka, uz identifikaciju glavnih izazova i potencijal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nih smerova za unapređenje. Kroz analizu podataka o obrazovanju muškaraca i žena, utvrđuju se rodne razlike, kao i ukupni obrazovni potencijali koji mogu biti osnova za buduće javne politike.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1: Obrazovna struktura stanovništva Čačka i udeli obrazovnih kategorija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2551"/>
        <w:gridCol w:w="238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Obrazovna kategorija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Broj stanovnika starijih od 15 godina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u ukupnom broju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90.453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100,00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Bez školske spreme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0,49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Nepotpuno 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14.255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15,75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Srednje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53.352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59,00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5.354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5,92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9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Visoko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13.223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38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14,62</w:t>
            </w:r>
            <w:r/>
          </w:p>
        </w:tc>
      </w:tr>
    </w:tbl>
    <w:p>
      <w:pPr>
        <w:pStyle w:val="873"/>
        <w:contextualSpacing w:val="0"/>
        <w:ind w:left="0" w:right="0" w:firstLine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1</w:t>
      </w:r>
      <w:r/>
    </w:p>
    <w:p>
      <w:pPr>
        <w:pStyle w:val="1047"/>
        <w:numPr>
          <w:ilvl w:val="0"/>
          <w:numId w:val="81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srednjeg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Najveći deo stanovništva (59,00%) ima završeno srednje obrazovanje, što je karakteristično za gradove sa razvijenom industrijskom i uslužnom delatnošću.</w:t>
      </w:r>
      <w:r/>
    </w:p>
    <w:p>
      <w:pPr>
        <w:pStyle w:val="1047"/>
        <w:numPr>
          <w:ilvl w:val="0"/>
          <w:numId w:val="81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Relativno visok udeo visokog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Stanovnici sa višim (5,92%) i visokim obrazovanjem (14,62%) čine ukupno 20,54% populacije, što ukazuje na solidan obrazovni potencijal.</w:t>
      </w:r>
      <w:r/>
    </w:p>
    <w:p>
      <w:pPr>
        <w:pStyle w:val="1047"/>
        <w:numPr>
          <w:ilvl w:val="0"/>
          <w:numId w:val="81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Nizak udeo bez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Stanovnici bez školske spreme čine samo 0,49% ukupne populacije, što odražava visok nivo osnovne pismenosti i obrazovanja u Čačku.</w:t>
      </w:r>
      <w:r/>
    </w:p>
    <w:p>
      <w:pPr>
        <w:pStyle w:val="1047"/>
        <w:numPr>
          <w:ilvl w:val="0"/>
          <w:numId w:val="81"/>
        </w:numPr>
        <w:contextualSpacing w:val="0"/>
        <w:ind w:right="0"/>
        <w:jc w:val="both"/>
        <w:spacing w:before="0" w:after="0" w:line="283" w:lineRule="atLeas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Problem u osnovnom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Gotovo 15,75% stanovnika ima završeno samo osnovno obrazovanje, što ukazuje na potencijalne izazove u daljem obrazovanju i kvalifikacijama radne snage.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2: Udeo muškaraca i žena u okviru svake obrazovne kategorije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3375"/>
        <w:gridCol w:w="857"/>
        <w:gridCol w:w="1791"/>
        <w:gridCol w:w="113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Obrazovna kategorija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Muškarci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Žene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Bez školske spreme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21,87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78,13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Nepotpuno 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3.580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27,68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72,32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Osnovno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14.255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41,55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58,45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Srednje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53.352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52,68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47,32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5.354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45,38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54,62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3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Visoko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13.223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41,60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58,40</w:t>
            </w:r>
            <w:r/>
          </w:p>
        </w:tc>
      </w:tr>
    </w:tbl>
    <w:p>
      <w:pPr>
        <w:pStyle w:val="873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</w:p>
    <w:p>
      <w:pPr>
        <w:pStyle w:val="873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2</w:t>
      </w:r>
      <w:r/>
    </w:p>
    <w:p>
      <w:pPr>
        <w:pStyle w:val="1047"/>
        <w:numPr>
          <w:ilvl w:val="0"/>
          <w:numId w:val="82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Rodne razlike u nižim obrazovnim kategorijama: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su značajno zastupljenije u kategorijama bez školske spreme (78,13%) i nepotpunog osnovnog obrazovanja (72,32%), što ukazuje na prepreke u obrazovanju za starije generacije žena.</w:t>
      </w:r>
      <w:r/>
    </w:p>
    <w:p>
      <w:pPr>
        <w:pStyle w:val="1047"/>
        <w:numPr>
          <w:ilvl w:val="0"/>
          <w:numId w:val="82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Blaga dominacija žena u višem i visokom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čine veći deo populacije sa višim obrazovanjem (54,62%) i visokim obrazovanjem (58,40%), što ukazuje na pozitivne promene među mlađim generacijama.</w:t>
      </w:r>
      <w:r/>
    </w:p>
    <w:p>
      <w:pPr>
        <w:pStyle w:val="1047"/>
        <w:numPr>
          <w:ilvl w:val="0"/>
          <w:numId w:val="82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muškaraca u srednjem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Veći procenat muškaraca u srednjem obrazovanju (52,68%) može biti povezan sa tehničkim i zanatskim zanimanjima.</w:t>
      </w:r>
      <w:r/>
    </w:p>
    <w:p>
      <w:pPr>
        <w:contextualSpacing w:val="0"/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35704" cy="2433577"/>
                <wp:effectExtent l="0" t="0" r="0" b="0"/>
                <wp:docPr id="7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664546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 flipH="0" flipV="0">
                          <a:off x="0" y="0"/>
                          <a:ext cx="3935703" cy="24335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309.9pt;height:191.6pt;mso-wrap-distance-left:0.0pt;mso-wrap-distance-top:0.0pt;mso-wrap-distance-right:0.0pt;mso-wrap-distance-bottom:0.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71"/>
        <w:contextualSpacing w:val="0"/>
        <w:ind w:left="0" w:right="0" w:firstLine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3: Udeo stanovnika sa višim i visokim obrazovanjem u populaciji starijoj od 15 godina</w:t>
      </w:r>
      <w:r/>
    </w:p>
    <w:tbl>
      <w:tblPr>
        <w:tblStyle w:val="899"/>
        <w:tblW w:w="0" w:type="auto"/>
        <w:jc w:val="center"/>
        <w:tblInd w:w="-311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496"/>
        <w:gridCol w:w="857"/>
        <w:gridCol w:w="1017"/>
        <w:gridCol w:w="69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96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Obrazovna kategorija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Muškarci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Žene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96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i visoko obrazovanje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18.577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7.931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10.646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96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Ukupan broj stanovnika (15+)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90.453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43.178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47.275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4496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Udeo u ukupnom stanovništvu (15+)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5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017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90" w:type="dxa"/>
            <w:vAlign w:val="center"/>
            <w:textDirection w:val="lrTb"/>
            <w:noWrap w:val="false"/>
          </w:tcPr>
          <w:p>
            <w:pPr>
              <w:contextualSpacing w:val="0"/>
              <w:jc w:val="both"/>
              <w:spacing w:before="0" w:after="0" w:line="57" w:lineRule="atLeast"/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22,52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</w:r>
            <w:r/>
          </w:p>
        </w:tc>
      </w:tr>
    </w:tbl>
    <w:p>
      <w:pPr>
        <w:pStyle w:val="873"/>
        <w:contextualSpacing w:val="0"/>
        <w:ind w:left="0" w:right="0" w:firstLine="0"/>
        <w:jc w:val="center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873"/>
        <w:contextualSpacing w:val="0"/>
        <w:ind w:left="0" w:right="0" w:firstLine="0"/>
        <w:jc w:val="center"/>
        <w:spacing w:before="0" w:after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615783" cy="2235760"/>
                <wp:effectExtent l="0" t="0" r="0" b="0"/>
                <wp:docPr id="8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161682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 flipH="0" flipV="0">
                          <a:off x="0" y="0"/>
                          <a:ext cx="3615783" cy="22357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284.7pt;height:176.0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pStyle w:val="873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873"/>
        <w:contextualSpacing w:val="0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3</w:t>
      </w:r>
      <w:r/>
    </w:p>
    <w:p>
      <w:pPr>
        <w:pStyle w:val="1047"/>
        <w:numPr>
          <w:ilvl w:val="0"/>
          <w:numId w:val="83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Udeo visokoobrazovanih: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Udeo stanovnika sa višim i visokim obrazovanjem u populaciji starijoj od 15 godina iznosi 20,54%, što je pozitivan pokazatelj obrazovne strukture.</w:t>
      </w:r>
      <w:r/>
    </w:p>
    <w:p>
      <w:pPr>
        <w:pStyle w:val="1047"/>
        <w:numPr>
          <w:ilvl w:val="0"/>
          <w:numId w:val="83"/>
        </w:numPr>
        <w:contextualSpacing w:val="0"/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Veći udeo žena: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čine 22,52% visokoobrazovanih u odnosu na ukupan broj žena, dok je udeo muškaraca 18,36%. Ovaj podatak ukazuje na sve veći značaj obrazovanja za žene u mlađim generacijama.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Zaključci</w:t>
      </w:r>
      <w:r/>
    </w:p>
    <w:p>
      <w:pPr>
        <w:pStyle w:val="1047"/>
        <w:numPr>
          <w:ilvl w:val="0"/>
          <w:numId w:val="8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srednjeg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Najveći deo stanovništva ima završeno srednje obrazovanje, što je dobra osnova za lokalni razvoj, ali ukazuje na potrebu za daljim unapređenjem obrazovnih kvalifikacija.</w:t>
      </w:r>
      <w:r/>
    </w:p>
    <w:p>
      <w:pPr>
        <w:pStyle w:val="1047"/>
        <w:numPr>
          <w:ilvl w:val="0"/>
          <w:numId w:val="8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Pozitivan trend visokog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Udeo visokoobrazovanih stanovnika je relativno visok (20,54%), sa većim udelom među ženama, što ukazuje na povoljne obrazovne trendove.</w:t>
      </w:r>
      <w:r/>
    </w:p>
    <w:p>
      <w:pPr>
        <w:pStyle w:val="1047"/>
        <w:numPr>
          <w:ilvl w:val="0"/>
          <w:numId w:val="84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Izazovi u nižim obrazovnim kategorijama: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starijih generacija su dominantne u nižim obrazovnim kategorijama, što može biti prepreka za njihovu punu radnu i društvenu inkluziju.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 za unapređenje javnih politika</w:t>
      </w:r>
      <w:r/>
    </w:p>
    <w:p>
      <w:pPr>
        <w:pStyle w:val="1047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visokog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Kreirati programe stipendiranja i obuka kako bi se povećao broj visokoobrazovanih, sa posebnim fokusom na tehničke i prirodne nauke.</w:t>
      </w:r>
      <w:r/>
    </w:p>
    <w:p>
      <w:pPr>
        <w:pStyle w:val="1047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Obrazovanje odraslih: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Implementirati programe za dodatno obrazovanje žena starijih generacija kako bi se unapredile njihove kvalifikacije i omogućilo njihovo veće učešće na tržištu rada.</w:t>
      </w:r>
      <w:r/>
    </w:p>
    <w:p>
      <w:pPr>
        <w:pStyle w:val="1047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Modernizacija srednjeg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Usmeriti resurse ka modernizaciji nastavnih planova i boljem povezivanju srednjeg obrazovanja sa lokalnim privrednim potrebama.</w:t>
      </w:r>
      <w:r/>
    </w:p>
    <w:p>
      <w:pPr>
        <w:pStyle w:val="1047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Doživotno učenje: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Podići svest o značaju doživotnog učenja kroz specijalizovane kurseve i sertifikacione programe.</w:t>
      </w:r>
      <w:r/>
    </w:p>
    <w:p>
      <w:pPr>
        <w:pStyle w:val="1047"/>
        <w:numPr>
          <w:ilvl w:val="0"/>
          <w:numId w:val="85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Razvoj lokalne ekonomije: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Povezati obrazovne programe sa strategijama lokalnog razvoja kako bi se povećala iskorišćenost ljudskih resursa i smanjila nezaposlenost.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analiza ukazuje na relativno povoljnu obrazovnu strukturu Čačka, ali i na potrebu za fokusiranjem na grupe sa nižim obrazovnim nivoima, kao i na dalji razvoj visokog obrazovanja u skladu sa potrebama lokalnog tržišta rada.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  <w:br w:type="page" w:clear="all"/>
      </w:r>
      <w:r>
        <w:rPr>
          <w:rFonts w:ascii="Times New Roman" w:hAnsi="Times New Roman" w:eastAsia="Times New Roman" w:cs="Times New Roman"/>
          <w:b/>
          <w:color w:val="000000"/>
          <w:sz w:val="28"/>
          <w:highlight w:val="none"/>
        </w:rPr>
      </w:r>
      <w:r/>
    </w:p>
    <w:p>
      <w:pPr>
        <w:pStyle w:val="871"/>
        <w:ind w:left="0" w:right="0" w:firstLine="0"/>
        <w:jc w:val="both"/>
        <w:spacing w:before="281" w:after="281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IV Zajednička i komparativna analiza obrazovne strukture stanovništva za gradove Novi Pazar, Kraljevo i Čačak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Obrazovna struktura stanovništva predstavlja ključni indikator socio-ekonomskog razvoja i potencijala zajednice. Ova analiza obuhvata gradove Novi Pazar, Kraljevo i Čačak, pružajući komparativni uvid u trenutne obrazovne karakteristike stanovništva. Kroz p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oređenje ključnih obrazovnih kategorija, rodnih razlika i udela visokoobrazovanih stanovnika, cilj je identifikovati zajedničke trendove, specifične izazove i prilike za unapređenje obrazovnih politika.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1: Obrazovna struktura ukupnog stanovništva u tri grada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822"/>
        <w:gridCol w:w="1568"/>
        <w:gridCol w:w="1763"/>
        <w:gridCol w:w="1806"/>
        <w:gridCol w:w="995"/>
        <w:gridCol w:w="908"/>
        <w:gridCol w:w="649"/>
        <w:gridCol w:w="84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Ukupno stanovništvo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Bez školske spreme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Nepotpuno osnovno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Osnovno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Srednje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Visoko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84.077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1,30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28,12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52,28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2,59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11,55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95.229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17,67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56,04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13,37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56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90.453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76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0,49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80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3,96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9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08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59,00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6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5,92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844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14,62</w:t>
            </w:r>
            <w:r/>
          </w:p>
        </w:tc>
      </w:tr>
    </w:tbl>
    <w:p>
      <w:pPr>
        <w:pStyle w:val="873"/>
        <w:ind w:left="0" w:right="0" w:firstLine="0"/>
        <w:jc w:val="center"/>
        <w:spacing w:before="319" w:after="319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4208259" cy="2602106"/>
                <wp:effectExtent l="0" t="0" r="0" b="0"/>
                <wp:docPr id="9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824695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 flipH="0" flipV="0">
                          <a:off x="0" y="0"/>
                          <a:ext cx="4208259" cy="26021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331.4pt;height:204.9pt;mso-wrap-distance-left:0.0pt;mso-wrap-distance-top:0.0pt;mso-wrap-distance-right:0.0pt;mso-wrap-distance-bottom:0.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873"/>
        <w:ind w:left="0" w:right="0" w:firstLine="0"/>
        <w:jc w:val="both"/>
        <w:spacing w:before="319" w:after="319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1</w:t>
      </w:r>
      <w:r/>
    </w:p>
    <w:p>
      <w:pPr>
        <w:pStyle w:val="1047"/>
        <w:numPr>
          <w:ilvl w:val="0"/>
          <w:numId w:val="8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srednjeg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Srednje obrazovanje čini najveći udeo u sva tri grada, sa najvišim procentom u Čačku (59,00%), dok Novi Pazar zaostaje sa 52,28%.</w:t>
      </w:r>
      <w:r/>
    </w:p>
    <w:p>
      <w:pPr>
        <w:pStyle w:val="1047"/>
        <w:numPr>
          <w:ilvl w:val="0"/>
          <w:numId w:val="8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Nizak udeo bez školske spreme: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Čačak ima najniži procenat stanovništva bez školske spreme (0,49%), dok Novi Pazar ima najviši (1,30%).</w:t>
      </w:r>
      <w:r/>
    </w:p>
    <w:p>
      <w:pPr>
        <w:pStyle w:val="1047"/>
        <w:numPr>
          <w:ilvl w:val="0"/>
          <w:numId w:val="8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Razlike u osnovnom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Novi Pazar ima znatno veći udeo stanovništva sa samo osnovnim obrazovanjem (28,12%), što ukazuje na niže obrazovne mogućnosti u prošlosti ili socio-ekonomske prepreke.</w:t>
      </w:r>
      <w:r/>
    </w:p>
    <w:p>
      <w:pPr>
        <w:pStyle w:val="1047"/>
        <w:numPr>
          <w:ilvl w:val="0"/>
          <w:numId w:val="86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Više i visoko obrazovanje: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Čačak ima najveći udeo visokoobrazovanih stanovnika (14,62%), dok je udeo u Kraljevu i Novom Pazaru nešto niži (13,37% i 11,55%).</w:t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2: Udeo muškaraca i žena u obrazovnim kategorijama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749"/>
        <w:gridCol w:w="1991"/>
        <w:gridCol w:w="2021"/>
        <w:gridCol w:w="1281"/>
        <w:gridCol w:w="1203"/>
        <w:gridCol w:w="966"/>
        <w:gridCol w:w="11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Grad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Bez školske spreme (M/Ž, %)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Nepotpuno osnovno (M/Ž, %)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Osnovno (M/Ž, %)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Srednje (M/Ž, %)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Više (M/Ž, %)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Visoko (M/Ž, %)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Novi Pazar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24,45 / 75,55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28,04 / 71,96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45,49 / 54,51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53,65 / 46,35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55,75 / 44,25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46,88 / 53,12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Kraljevo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22,12 / 77,88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27,79 / 72,21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44,99 / 55,01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53,48 / 46,52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47,43 / 52,57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44,87 / 55,13</w:t>
            </w:r>
            <w:r>
              <w:rPr>
                <w:sz w:val="22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7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zCs w:val="22"/>
              </w:rPr>
              <w:t xml:space="preserve">Čačak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99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21,87 / 78,13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202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27,68 / 72,32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8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41,55 / 58,45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20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52,68 / 47,32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66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45,38 / 54,62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</w:rPr>
              <w:t xml:space="preserve">41,60 / 58,40</w:t>
            </w:r>
            <w:r>
              <w:rPr>
                <w:sz w:val="22"/>
                <w:szCs w:val="22"/>
              </w:rPr>
            </w:r>
            <w:r/>
          </w:p>
        </w:tc>
      </w:tr>
    </w:tbl>
    <w:p>
      <w:pPr>
        <w:pStyle w:val="873"/>
        <w:ind w:left="0" w:right="0" w:firstLine="0"/>
        <w:jc w:val="center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32407" cy="2431538"/>
                <wp:effectExtent l="0" t="0" r="0" b="0"/>
                <wp:docPr id="10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99902658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 rot="0" flipH="0" flipV="0">
                          <a:off x="0" y="0"/>
                          <a:ext cx="3932407" cy="24315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9" o:spid="_x0000_s9" type="#_x0000_t75" style="width:309.6pt;height:191.5pt;mso-wrap-distance-left:0.0pt;mso-wrap-distance-top:0.0pt;mso-wrap-distance-right:0.0pt;mso-wrap-distance-bottom:0.0pt;rotation:0;" stroked="false">
                <v:path textboxrect="0,0,0,0"/>
                <v:imagedata r:id="rId19" o:title=""/>
              </v:shape>
            </w:pict>
          </mc:Fallback>
        </mc:AlternateContent>
      </w:r>
      <w:r/>
    </w:p>
    <w:p>
      <w:pPr>
        <w:pStyle w:val="873"/>
        <w:ind w:left="0" w:right="0" w:firstLine="0"/>
        <w:jc w:val="center"/>
        <w:spacing w:before="319" w:after="319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718095" cy="2299022"/>
                <wp:effectExtent l="0" t="0" r="0" b="0"/>
                <wp:docPr id="1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9517855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 flipH="0" flipV="0">
                          <a:off x="0" y="0"/>
                          <a:ext cx="3718094" cy="22990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0" o:spid="_x0000_s10" type="#_x0000_t75" style="width:292.8pt;height:181.0pt;mso-wrap-distance-left:0.0pt;mso-wrap-distance-top:0.0pt;mso-wrap-distance-right:0.0pt;mso-wrap-distance-bottom:0.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873"/>
        <w:ind w:left="0" w:right="0" w:firstLine="0"/>
        <w:jc w:val="both"/>
        <w:spacing w:before="319" w:after="319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2</w:t>
      </w:r>
      <w:r/>
    </w:p>
    <w:p>
      <w:pPr>
        <w:pStyle w:val="1047"/>
        <w:numPr>
          <w:ilvl w:val="0"/>
          <w:numId w:val="8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Rodne razlike u nižem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su dominantne u kategorijama bez školske spreme i nepotpunog osnovnog obrazovanja u sva tri grada, što ukazuje na generacijske prepreke u obrazovanju žena.</w:t>
      </w:r>
      <w:r/>
    </w:p>
    <w:p>
      <w:pPr>
        <w:pStyle w:val="1047"/>
        <w:numPr>
          <w:ilvl w:val="0"/>
          <w:numId w:val="8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muškaraca u srednjem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sva tri grada muškarci su zastupljeniji u kategoriji srednjeg obrazovanja, što je često povezano sa tehničkim zanimanjima.</w:t>
      </w:r>
      <w:r/>
    </w:p>
    <w:p>
      <w:pPr>
        <w:pStyle w:val="1047"/>
        <w:numPr>
          <w:ilvl w:val="0"/>
          <w:numId w:val="87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Veći udeo žena u visokom obrazovanju: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Žene su nadzastupljene u visokom obrazovanju u sva tri grada, sa najvećim procentom u Čačku (58,40%), što ukazuje na promene u obrazovnim trendovima mlađih generacija.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Tabela 3: Udeo stanovnika sa višim i visokim obrazovanjem u populaciji starijoj od 15 godina</w:t>
      </w:r>
      <w:r/>
    </w:p>
    <w:tbl>
      <w:tblPr>
        <w:tblStyle w:val="899"/>
        <w:tblW w:w="0" w:type="auto"/>
        <w:jc w:val="center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140"/>
        <w:gridCol w:w="3060"/>
        <w:gridCol w:w="1455"/>
        <w:gridCol w:w="97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Grad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Više i visoko obrazovanje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Muškarci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Žene (%)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Novi Pazar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13,92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14,37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Kraljevo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19,34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18,13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20,50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14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Čačak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306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20,54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145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18,36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5" w:type="dxa"/>
              <w:top w:w="15" w:type="dxa"/>
              <w:right w:w="15" w:type="dxa"/>
              <w:bottom w:w="15" w:type="dxa"/>
            </w:tcMar>
            <w:tcW w:w="97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22,52</w:t>
            </w:r>
            <w:r/>
          </w:p>
        </w:tc>
      </w:tr>
    </w:tbl>
    <w:p>
      <w:pPr>
        <w:pStyle w:val="873"/>
        <w:ind w:left="0" w:right="0" w:firstLine="0"/>
        <w:jc w:val="center"/>
        <w:spacing w:before="319" w:after="319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b/>
          <w:color w:val="000000"/>
          <w:sz w:val="24"/>
          <w:highlight w:val="none"/>
        </w:rPr>
      </w:r>
      <w:r/>
    </w:p>
    <w:p>
      <w:pPr>
        <w:pStyle w:val="873"/>
        <w:ind w:left="0" w:right="0" w:firstLine="0"/>
        <w:jc w:val="both"/>
        <w:spacing w:before="319" w:after="319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Komentari na tabelu 3</w:t>
      </w:r>
      <w:r/>
    </w:p>
    <w:p>
      <w:pPr>
        <w:pStyle w:val="1047"/>
        <w:numPr>
          <w:ilvl w:val="0"/>
          <w:numId w:val="8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Najviši udeo visokoobrazovanih: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Čačak ima najviši udeo stanovnika sa višim i visokim obrazovanjem (20,54%), dok je u Novom Pazaru ovaj udeo značajno niži (14,14%).</w:t>
      </w:r>
      <w:r/>
    </w:p>
    <w:p>
      <w:pPr>
        <w:pStyle w:val="1047"/>
        <w:numPr>
          <w:ilvl w:val="0"/>
          <w:numId w:val="8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Rodne razlike: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sva tri grada žene imaju veći udeo u višem i visokom obrazovanju u odnosu na muškarce, sa najizraženijom razlikom u Čačku.</w:t>
      </w:r>
      <w:r/>
    </w:p>
    <w:p>
      <w:pPr>
        <w:pStyle w:val="1047"/>
        <w:numPr>
          <w:ilvl w:val="0"/>
          <w:numId w:val="88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Regionalne razlike: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Kraljevo i Čačak beleže povoljniju obrazovnu strukturu u odnosu na Novi Pazar, što ukazuje na potrebu za dodatnim obrazovnim ulaganjima u Novom Pazaru.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Zajednički zaključci</w:t>
      </w:r>
      <w:r/>
    </w:p>
    <w:p>
      <w:pPr>
        <w:pStyle w:val="1047"/>
        <w:numPr>
          <w:ilvl w:val="0"/>
          <w:numId w:val="8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Dominacija srednjeg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Srednje obrazovanje je dominantna kategorija u sva tri grada, što ukazuje na dobro razvijen obrazovni sistem na tom nivou.</w:t>
      </w:r>
      <w:r/>
    </w:p>
    <w:p>
      <w:pPr>
        <w:pStyle w:val="1047"/>
        <w:numPr>
          <w:ilvl w:val="0"/>
          <w:numId w:val="8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Nedostatak visokog obrazovanja u Novom Pazaru: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poređenju sa Kraljevom i Čačkom, Novi Pazar ima značajno niži udeo visokoobrazovanih stanovnika, što ukazuje na potrebu za većim ulaganjima u visoko obrazovanje.</w:t>
      </w:r>
      <w:r/>
    </w:p>
    <w:p>
      <w:pPr>
        <w:pStyle w:val="1047"/>
        <w:numPr>
          <w:ilvl w:val="0"/>
          <w:numId w:val="8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Rodne razlike: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 svim gradovima žene starijih generacija imaju niži nivo obrazovanja, ali među mlađim generacijama žene dominiraju u visokom obrazovanju.</w:t>
      </w:r>
      <w:r/>
    </w:p>
    <w:p>
      <w:pPr>
        <w:pStyle w:val="1047"/>
        <w:numPr>
          <w:ilvl w:val="0"/>
          <w:numId w:val="89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Izazovi osnovnog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Novi Pazar beleži najveći udeo stanovnika sa samo osnovnim obrazovanjem, što ukazuje na demografske i socio-ekonomske izazove.</w:t>
      </w:r>
      <w:r/>
    </w:p>
    <w:p>
      <w:pPr>
        <w:pStyle w:val="871"/>
        <w:ind w:left="0" w:right="0" w:firstLine="0"/>
        <w:jc w:val="both"/>
        <w:spacing w:before="281" w:after="28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Preporuke za unapređenje javnih politika</w:t>
      </w:r>
      <w:r/>
    </w:p>
    <w:p>
      <w:pPr>
        <w:pStyle w:val="1047"/>
        <w:numPr>
          <w:ilvl w:val="0"/>
          <w:numId w:val="9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Podrška visokom obrazovanju u Novom Pazaru: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Ulagati u razvoj univerzitetskih programa, stipendije i promociju visokog obrazovanja u Novom Pazaru.</w:t>
      </w:r>
      <w:r/>
    </w:p>
    <w:p>
      <w:pPr>
        <w:pStyle w:val="1047"/>
        <w:numPr>
          <w:ilvl w:val="0"/>
          <w:numId w:val="9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Obrazovanje odraslih: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Implementirati programe dodatnog obrazovanja za žene starijih generacija u sva tri grada kako bi se smanjile rodne razlike u nižim obrazovnim kategorijama.</w:t>
      </w:r>
      <w:r/>
    </w:p>
    <w:p>
      <w:pPr>
        <w:pStyle w:val="1047"/>
        <w:numPr>
          <w:ilvl w:val="0"/>
          <w:numId w:val="9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Regionalna saradnja: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Razviti obrazovne projekte između Novog Pazara, Kraljeva i Čačka kako bi se delili resursi i iskustva.</w:t>
      </w:r>
      <w:r/>
    </w:p>
    <w:p>
      <w:pPr>
        <w:pStyle w:val="1047"/>
        <w:numPr>
          <w:ilvl w:val="0"/>
          <w:numId w:val="9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Unapređenje osnovnog obrazovanja: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Posebno u Novom Pazaru, fokusirati se na smanjenje broja stanovnika sa osnovnim obrazovanjem kroz ciljane programe za mlađe generacije.</w:t>
      </w:r>
      <w:r/>
    </w:p>
    <w:p>
      <w:pPr>
        <w:pStyle w:val="1047"/>
        <w:numPr>
          <w:ilvl w:val="0"/>
          <w:numId w:val="90"/>
        </w:numPr>
        <w:ind w:right="0"/>
        <w:jc w:val="both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Doživotno učenje: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Promovisati programe doživotnog obrazovanja i profesionalne obuke u sva tri grada kako bi se povećala kvalifikovanost radne snage.</w:t>
      </w:r>
      <w:r/>
    </w:p>
    <w:p>
      <w:pPr>
        <w:ind w:left="0" w:right="0" w:firstLine="0"/>
        <w:jc w:val="both"/>
        <w:spacing w:before="240" w:after="24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Ova komparativna analiza naglašava razlike i sličnosti u obrazovnoj strukturi ova tri grada, pružajući osnovu za ciljane i koordinisane politike razvoja.</w:t>
      </w:r>
      <w:r/>
    </w:p>
    <w:p>
      <w:pPr>
        <w:jc w:val="both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851" w:right="850" w:bottom="1134" w:left="1701" w:header="42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jc w:val="right"/>
    </w:pPr>
    <w:fldSimple w:instr="PAGE \* MERGEFORMAT">
      <w:r>
        <w:t xml:space="preserve">1</w:t>
      </w:r>
    </w:fldSimple>
    <w:r/>
    <w:r/>
  </w:p>
  <w:p>
    <w:pPr>
      <w:pStyle w:val="89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59165" cy="176546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68501427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37655" r="0" b="39089"/>
                      <a:stretch/>
                    </pic:blipFill>
                    <pic:spPr bwMode="auto">
                      <a:xfrm flipH="0" flipV="0">
                        <a:off x="0" y="0"/>
                        <a:ext cx="759161" cy="17654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9.8pt;height:13.9pt;mso-wrap-distance-left:0.0pt;mso-wrap-distance-top:0.0pt;mso-wrap-distance-right:0.0pt;mso-wrap-distance-bottom:0.0pt;" stroked="false">
              <v:path textboxrect="0,0,0,0"/>
              <v:imagedata r:id="rId1" o:title=""/>
            </v:shape>
          </w:pict>
        </mc:Fallback>
      </mc:AlternateContent>
      <w:t xml:space="preserve">powered by </w:t>
    </w:r>
    <w:r>
      <mc:AlternateContent>
        <mc:Choice Requires="wpg">
          <w:drawing>
            <wp:inline xmlns:wp="http://schemas.openxmlformats.org/drawingml/2006/wordprocessingDrawing" distT="0" distB="0" distL="0" distR="0">
              <wp:extent cx="344574" cy="186575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94389859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2"/>
                      <a:srcRect l="17992" t="28202" r="17670" b="36962"/>
                      <a:stretch/>
                    </pic:blipFill>
                    <pic:spPr bwMode="auto">
                      <a:xfrm flipH="0" flipV="0">
                        <a:off x="0" y="0"/>
                        <a:ext cx="344574" cy="18657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27.1pt;height:14.7pt;mso-wrap-distance-left:0.0pt;mso-wrap-distance-top:0.0pt;mso-wrap-distance-right:0.0pt;mso-wrap-distance-bottom:0.0pt;" stroked="false">
              <v:path textboxrect="0,0,0,0"/>
              <v:imagedata r:id="rId2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Times New Roman" w:hAnsi="Times New Roman" w:eastAsia="Times New Roman" w:cs="Times New Roman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67">
    <w:name w:val="Heading 1"/>
    <w:basedOn w:val="1043"/>
    <w:next w:val="1043"/>
    <w:link w:val="86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68">
    <w:name w:val="Heading 1 Char"/>
    <w:link w:val="867"/>
    <w:uiPriority w:val="9"/>
    <w:rPr>
      <w:rFonts w:ascii="Arial" w:hAnsi="Arial" w:eastAsia="Arial" w:cs="Arial"/>
      <w:sz w:val="40"/>
      <w:szCs w:val="40"/>
    </w:rPr>
  </w:style>
  <w:style w:type="paragraph" w:styleId="869">
    <w:name w:val="Heading 2"/>
    <w:basedOn w:val="1043"/>
    <w:next w:val="1043"/>
    <w:link w:val="87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70">
    <w:name w:val="Heading 2 Char"/>
    <w:link w:val="869"/>
    <w:uiPriority w:val="9"/>
    <w:rPr>
      <w:rFonts w:ascii="Arial" w:hAnsi="Arial" w:eastAsia="Arial" w:cs="Arial"/>
      <w:sz w:val="34"/>
    </w:rPr>
  </w:style>
  <w:style w:type="paragraph" w:styleId="871">
    <w:name w:val="Heading 3"/>
    <w:basedOn w:val="1043"/>
    <w:next w:val="1043"/>
    <w:link w:val="87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72">
    <w:name w:val="Heading 3 Char"/>
    <w:link w:val="871"/>
    <w:uiPriority w:val="9"/>
    <w:rPr>
      <w:rFonts w:ascii="Arial" w:hAnsi="Arial" w:eastAsia="Arial" w:cs="Arial"/>
      <w:sz w:val="30"/>
      <w:szCs w:val="30"/>
    </w:rPr>
  </w:style>
  <w:style w:type="paragraph" w:styleId="873">
    <w:name w:val="Heading 4"/>
    <w:basedOn w:val="1043"/>
    <w:next w:val="1043"/>
    <w:link w:val="87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74">
    <w:name w:val="Heading 4 Char"/>
    <w:link w:val="873"/>
    <w:uiPriority w:val="9"/>
    <w:rPr>
      <w:rFonts w:ascii="Arial" w:hAnsi="Arial" w:eastAsia="Arial" w:cs="Arial"/>
      <w:b/>
      <w:bCs/>
      <w:sz w:val="26"/>
      <w:szCs w:val="26"/>
    </w:rPr>
  </w:style>
  <w:style w:type="paragraph" w:styleId="875">
    <w:name w:val="Heading 5"/>
    <w:basedOn w:val="1043"/>
    <w:next w:val="1043"/>
    <w:link w:val="8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76">
    <w:name w:val="Heading 5 Char"/>
    <w:link w:val="875"/>
    <w:uiPriority w:val="9"/>
    <w:rPr>
      <w:rFonts w:ascii="Arial" w:hAnsi="Arial" w:eastAsia="Arial" w:cs="Arial"/>
      <w:b/>
      <w:bCs/>
      <w:sz w:val="24"/>
      <w:szCs w:val="24"/>
    </w:rPr>
  </w:style>
  <w:style w:type="paragraph" w:styleId="877">
    <w:name w:val="Heading 6"/>
    <w:basedOn w:val="1043"/>
    <w:next w:val="1043"/>
    <w:link w:val="87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78">
    <w:name w:val="Heading 6 Char"/>
    <w:link w:val="877"/>
    <w:uiPriority w:val="9"/>
    <w:rPr>
      <w:rFonts w:ascii="Arial" w:hAnsi="Arial" w:eastAsia="Arial" w:cs="Arial"/>
      <w:b/>
      <w:bCs/>
      <w:sz w:val="22"/>
      <w:szCs w:val="22"/>
    </w:rPr>
  </w:style>
  <w:style w:type="paragraph" w:styleId="879">
    <w:name w:val="Heading 7"/>
    <w:basedOn w:val="1043"/>
    <w:next w:val="1043"/>
    <w:link w:val="88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80">
    <w:name w:val="Heading 7 Char"/>
    <w:link w:val="87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81">
    <w:name w:val="Heading 8"/>
    <w:basedOn w:val="1043"/>
    <w:next w:val="1043"/>
    <w:link w:val="8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82">
    <w:name w:val="Heading 8 Char"/>
    <w:link w:val="881"/>
    <w:uiPriority w:val="9"/>
    <w:rPr>
      <w:rFonts w:ascii="Arial" w:hAnsi="Arial" w:eastAsia="Arial" w:cs="Arial"/>
      <w:i/>
      <w:iCs/>
      <w:sz w:val="22"/>
      <w:szCs w:val="22"/>
    </w:rPr>
  </w:style>
  <w:style w:type="paragraph" w:styleId="883">
    <w:name w:val="Heading 9"/>
    <w:basedOn w:val="1043"/>
    <w:next w:val="1043"/>
    <w:link w:val="88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84">
    <w:name w:val="Heading 9 Char"/>
    <w:link w:val="883"/>
    <w:uiPriority w:val="9"/>
    <w:rPr>
      <w:rFonts w:ascii="Arial" w:hAnsi="Arial" w:eastAsia="Arial" w:cs="Arial"/>
      <w:i/>
      <w:iCs/>
      <w:sz w:val="21"/>
      <w:szCs w:val="21"/>
    </w:rPr>
  </w:style>
  <w:style w:type="paragraph" w:styleId="885">
    <w:name w:val="Title"/>
    <w:basedOn w:val="1043"/>
    <w:next w:val="1043"/>
    <w:link w:val="88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86">
    <w:name w:val="Title Char"/>
    <w:link w:val="885"/>
    <w:uiPriority w:val="10"/>
    <w:rPr>
      <w:sz w:val="48"/>
      <w:szCs w:val="48"/>
    </w:rPr>
  </w:style>
  <w:style w:type="paragraph" w:styleId="887">
    <w:name w:val="Subtitle"/>
    <w:basedOn w:val="1043"/>
    <w:next w:val="1043"/>
    <w:link w:val="888"/>
    <w:uiPriority w:val="11"/>
    <w:qFormat/>
    <w:pPr>
      <w:spacing w:before="200" w:after="200"/>
    </w:pPr>
    <w:rPr>
      <w:sz w:val="24"/>
      <w:szCs w:val="24"/>
    </w:rPr>
  </w:style>
  <w:style w:type="character" w:styleId="888">
    <w:name w:val="Subtitle Char"/>
    <w:link w:val="887"/>
    <w:uiPriority w:val="11"/>
    <w:rPr>
      <w:sz w:val="24"/>
      <w:szCs w:val="24"/>
    </w:rPr>
  </w:style>
  <w:style w:type="paragraph" w:styleId="889">
    <w:name w:val="Quote"/>
    <w:basedOn w:val="1043"/>
    <w:next w:val="1043"/>
    <w:link w:val="890"/>
    <w:uiPriority w:val="29"/>
    <w:qFormat/>
    <w:pPr>
      <w:ind w:left="720" w:right="720"/>
    </w:pPr>
    <w:rPr>
      <w:i/>
    </w:rPr>
  </w:style>
  <w:style w:type="character" w:styleId="890">
    <w:name w:val="Quote Char"/>
    <w:link w:val="889"/>
    <w:uiPriority w:val="29"/>
    <w:rPr>
      <w:i/>
    </w:rPr>
  </w:style>
  <w:style w:type="paragraph" w:styleId="891">
    <w:name w:val="Intense Quote"/>
    <w:basedOn w:val="1043"/>
    <w:next w:val="1043"/>
    <w:link w:val="89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92">
    <w:name w:val="Intense Quote Char"/>
    <w:link w:val="891"/>
    <w:uiPriority w:val="30"/>
    <w:rPr>
      <w:i/>
    </w:rPr>
  </w:style>
  <w:style w:type="paragraph" w:styleId="893">
    <w:name w:val="Header"/>
    <w:basedOn w:val="1043"/>
    <w:link w:val="89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4">
    <w:name w:val="Header Char"/>
    <w:link w:val="893"/>
    <w:uiPriority w:val="99"/>
  </w:style>
  <w:style w:type="paragraph" w:styleId="895">
    <w:name w:val="Footer"/>
    <w:basedOn w:val="1043"/>
    <w:link w:val="8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96">
    <w:name w:val="Footer Char"/>
    <w:link w:val="895"/>
    <w:uiPriority w:val="99"/>
  </w:style>
  <w:style w:type="paragraph" w:styleId="897">
    <w:name w:val="Caption"/>
    <w:basedOn w:val="1043"/>
    <w:next w:val="104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98">
    <w:name w:val="Caption Char"/>
    <w:basedOn w:val="897"/>
    <w:link w:val="895"/>
    <w:uiPriority w:val="99"/>
  </w:style>
  <w:style w:type="table" w:styleId="899">
    <w:name w:val="Table Grid"/>
    <w:basedOn w:val="104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Table Grid Light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>
    <w:name w:val="Plain Table 1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2">
    <w:name w:val="Plain Table 2"/>
    <w:basedOn w:val="104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03">
    <w:name w:val="Plain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04">
    <w:name w:val="Plain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>
    <w:name w:val="Plain Table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06">
    <w:name w:val="Grid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>
    <w:name w:val="Grid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>
    <w:name w:val="Grid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Grid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Grid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Grid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Grid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Grid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Grid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Grid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Grid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Grid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Grid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Grid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0">
    <w:name w:val="Grid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1">
    <w:name w:val="Grid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2">
    <w:name w:val="Grid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3">
    <w:name w:val="Grid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4">
    <w:name w:val="Grid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5">
    <w:name w:val="Grid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6">
    <w:name w:val="Grid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27">
    <w:name w:val="Grid Table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28">
    <w:name w:val="Grid Table 4 - Accent 1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29">
    <w:name w:val="Grid Table 4 - Accent 2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30">
    <w:name w:val="Grid Table 4 - Accent 3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31">
    <w:name w:val="Grid Table 4 - Accent 4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32">
    <w:name w:val="Grid Table 4 - Accent 5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33">
    <w:name w:val="Grid Table 4 - Accent 6"/>
    <w:basedOn w:val="104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34">
    <w:name w:val="Grid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35">
    <w:name w:val="Grid Table 5 Dark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36">
    <w:name w:val="Grid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37">
    <w:name w:val="Grid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38">
    <w:name w:val="Grid Table 5 Dark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39">
    <w:name w:val="Grid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40">
    <w:name w:val="Grid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41">
    <w:name w:val="Grid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42">
    <w:name w:val="Grid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43">
    <w:name w:val="Grid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44">
    <w:name w:val="Grid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5">
    <w:name w:val="Grid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6">
    <w:name w:val="Grid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7">
    <w:name w:val="Grid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8">
    <w:name w:val="Grid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4">
    <w:name w:val="Grid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5">
    <w:name w:val="List Table 1 Light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63">
    <w:name w:val="List Table 2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64">
    <w:name w:val="List Table 2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65">
    <w:name w:val="List Table 2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66">
    <w:name w:val="List Table 2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67">
    <w:name w:val="List Table 2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68">
    <w:name w:val="List Table 2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69">
    <w:name w:val="List Table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0">
    <w:name w:val="List Table 3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1">
    <w:name w:val="List Table 3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2">
    <w:name w:val="List Table 3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3">
    <w:name w:val="List Table 3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4">
    <w:name w:val="List Table 3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5">
    <w:name w:val="List Table 3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List Table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7">
    <w:name w:val="List Table 4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>
    <w:name w:val="List Table 4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>
    <w:name w:val="List Table 4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>
    <w:name w:val="List Table 4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>
    <w:name w:val="List Table 4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List Table 4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>
    <w:name w:val="List Table 5 Dark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4">
    <w:name w:val="List Table 5 Dark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5">
    <w:name w:val="List Table 5 Dark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6">
    <w:name w:val="List Table 5 Dark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7">
    <w:name w:val="List Table 5 Dark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8">
    <w:name w:val="List Table 5 Dark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89">
    <w:name w:val="List Table 5 Dark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90">
    <w:name w:val="List Table 6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91">
    <w:name w:val="List Table 6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92">
    <w:name w:val="List Table 6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93">
    <w:name w:val="List Table 6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94">
    <w:name w:val="List Table 6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95">
    <w:name w:val="List Table 6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96">
    <w:name w:val="List Table 6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97">
    <w:name w:val="List Table 7 Colorful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98">
    <w:name w:val="List Table 7 Colorful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99">
    <w:name w:val="List Table 7 Colorful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00">
    <w:name w:val="List Table 7 Colorful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01">
    <w:name w:val="List Table 7 Colorful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02">
    <w:name w:val="List Table 7 Colorful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03">
    <w:name w:val="List Table 7 Colorful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04">
    <w:name w:val="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05">
    <w:name w:val="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06">
    <w:name w:val="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07">
    <w:name w:val="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08">
    <w:name w:val="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09">
    <w:name w:val="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10">
    <w:name w:val="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11">
    <w:name w:val="Bordered &amp; Lined - Accent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12">
    <w:name w:val="Bordered &amp; Lined - Accent 1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13">
    <w:name w:val="Bordered &amp; Lined - Accent 2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14">
    <w:name w:val="Bordered &amp; Lined - Accent 3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15">
    <w:name w:val="Bordered &amp; Lined - Accent 4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16">
    <w:name w:val="Bordered &amp; Lined - Accent 5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17">
    <w:name w:val="Bordered &amp; Lined - Accent 6"/>
    <w:basedOn w:val="104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18">
    <w:name w:val="Bordered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19">
    <w:name w:val="Bordered - Accent 1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20">
    <w:name w:val="Bordered - Accent 2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21">
    <w:name w:val="Bordered - Accent 3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22">
    <w:name w:val="Bordered - Accent 4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23">
    <w:name w:val="Bordered - Accent 5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24">
    <w:name w:val="Bordered - Accent 6"/>
    <w:basedOn w:val="104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25">
    <w:name w:val="Hyperlink"/>
    <w:uiPriority w:val="99"/>
    <w:unhideWhenUsed/>
    <w:rPr>
      <w:color w:val="0000ff" w:themeColor="hyperlink"/>
      <w:u w:val="single"/>
    </w:rPr>
  </w:style>
  <w:style w:type="paragraph" w:styleId="1026">
    <w:name w:val="footnote text"/>
    <w:basedOn w:val="1043"/>
    <w:link w:val="1027"/>
    <w:uiPriority w:val="99"/>
    <w:semiHidden/>
    <w:unhideWhenUsed/>
    <w:pPr>
      <w:spacing w:after="40" w:line="240" w:lineRule="auto"/>
    </w:pPr>
    <w:rPr>
      <w:sz w:val="18"/>
    </w:rPr>
  </w:style>
  <w:style w:type="character" w:styleId="1027">
    <w:name w:val="Footnote Text Char"/>
    <w:link w:val="1026"/>
    <w:uiPriority w:val="99"/>
    <w:rPr>
      <w:sz w:val="18"/>
    </w:rPr>
  </w:style>
  <w:style w:type="character" w:styleId="1028">
    <w:name w:val="footnote reference"/>
    <w:uiPriority w:val="99"/>
    <w:unhideWhenUsed/>
    <w:rPr>
      <w:vertAlign w:val="superscript"/>
    </w:rPr>
  </w:style>
  <w:style w:type="paragraph" w:styleId="1029">
    <w:name w:val="endnote text"/>
    <w:basedOn w:val="1043"/>
    <w:link w:val="1030"/>
    <w:uiPriority w:val="99"/>
    <w:semiHidden/>
    <w:unhideWhenUsed/>
    <w:pPr>
      <w:spacing w:after="0" w:line="240" w:lineRule="auto"/>
    </w:pPr>
    <w:rPr>
      <w:sz w:val="20"/>
    </w:rPr>
  </w:style>
  <w:style w:type="character" w:styleId="1030">
    <w:name w:val="Endnote Text Char"/>
    <w:link w:val="1029"/>
    <w:uiPriority w:val="99"/>
    <w:rPr>
      <w:sz w:val="20"/>
    </w:rPr>
  </w:style>
  <w:style w:type="character" w:styleId="1031">
    <w:name w:val="endnote reference"/>
    <w:uiPriority w:val="99"/>
    <w:semiHidden/>
    <w:unhideWhenUsed/>
    <w:rPr>
      <w:vertAlign w:val="superscript"/>
    </w:rPr>
  </w:style>
  <w:style w:type="paragraph" w:styleId="1032">
    <w:name w:val="toc 1"/>
    <w:basedOn w:val="1043"/>
    <w:next w:val="1043"/>
    <w:uiPriority w:val="39"/>
    <w:unhideWhenUsed/>
    <w:pPr>
      <w:ind w:left="0" w:right="0" w:firstLine="0"/>
      <w:spacing w:after="57"/>
    </w:pPr>
  </w:style>
  <w:style w:type="paragraph" w:styleId="1033">
    <w:name w:val="toc 2"/>
    <w:basedOn w:val="1043"/>
    <w:next w:val="1043"/>
    <w:uiPriority w:val="39"/>
    <w:unhideWhenUsed/>
    <w:pPr>
      <w:ind w:left="283" w:right="0" w:firstLine="0"/>
      <w:spacing w:after="57"/>
    </w:pPr>
  </w:style>
  <w:style w:type="paragraph" w:styleId="1034">
    <w:name w:val="toc 3"/>
    <w:basedOn w:val="1043"/>
    <w:next w:val="1043"/>
    <w:uiPriority w:val="39"/>
    <w:unhideWhenUsed/>
    <w:pPr>
      <w:ind w:left="567" w:right="0" w:firstLine="0"/>
      <w:spacing w:after="57"/>
    </w:pPr>
  </w:style>
  <w:style w:type="paragraph" w:styleId="1035">
    <w:name w:val="toc 4"/>
    <w:basedOn w:val="1043"/>
    <w:next w:val="1043"/>
    <w:uiPriority w:val="39"/>
    <w:unhideWhenUsed/>
    <w:pPr>
      <w:ind w:left="850" w:right="0" w:firstLine="0"/>
      <w:spacing w:after="57"/>
    </w:pPr>
  </w:style>
  <w:style w:type="paragraph" w:styleId="1036">
    <w:name w:val="toc 5"/>
    <w:basedOn w:val="1043"/>
    <w:next w:val="1043"/>
    <w:uiPriority w:val="39"/>
    <w:unhideWhenUsed/>
    <w:pPr>
      <w:ind w:left="1134" w:right="0" w:firstLine="0"/>
      <w:spacing w:after="57"/>
    </w:pPr>
  </w:style>
  <w:style w:type="paragraph" w:styleId="1037">
    <w:name w:val="toc 6"/>
    <w:basedOn w:val="1043"/>
    <w:next w:val="1043"/>
    <w:uiPriority w:val="39"/>
    <w:unhideWhenUsed/>
    <w:pPr>
      <w:ind w:left="1417" w:right="0" w:firstLine="0"/>
      <w:spacing w:after="57"/>
    </w:pPr>
  </w:style>
  <w:style w:type="paragraph" w:styleId="1038">
    <w:name w:val="toc 7"/>
    <w:basedOn w:val="1043"/>
    <w:next w:val="1043"/>
    <w:uiPriority w:val="39"/>
    <w:unhideWhenUsed/>
    <w:pPr>
      <w:ind w:left="1701" w:right="0" w:firstLine="0"/>
      <w:spacing w:after="57"/>
    </w:pPr>
  </w:style>
  <w:style w:type="paragraph" w:styleId="1039">
    <w:name w:val="toc 8"/>
    <w:basedOn w:val="1043"/>
    <w:next w:val="1043"/>
    <w:uiPriority w:val="39"/>
    <w:unhideWhenUsed/>
    <w:pPr>
      <w:ind w:left="1984" w:right="0" w:firstLine="0"/>
      <w:spacing w:after="57"/>
    </w:pPr>
  </w:style>
  <w:style w:type="paragraph" w:styleId="1040">
    <w:name w:val="toc 9"/>
    <w:basedOn w:val="1043"/>
    <w:next w:val="1043"/>
    <w:uiPriority w:val="39"/>
    <w:unhideWhenUsed/>
    <w:pPr>
      <w:ind w:left="2268" w:right="0" w:firstLine="0"/>
      <w:spacing w:after="57"/>
    </w:pPr>
  </w:style>
  <w:style w:type="paragraph" w:styleId="1041">
    <w:name w:val="TOC Heading"/>
    <w:uiPriority w:val="39"/>
    <w:unhideWhenUsed/>
  </w:style>
  <w:style w:type="paragraph" w:styleId="1042">
    <w:name w:val="table of figures"/>
    <w:basedOn w:val="1043"/>
    <w:next w:val="1043"/>
    <w:uiPriority w:val="99"/>
    <w:unhideWhenUsed/>
    <w:pPr>
      <w:spacing w:after="0" w:afterAutospacing="0"/>
    </w:pPr>
  </w:style>
  <w:style w:type="paragraph" w:styleId="1043" w:default="1">
    <w:name w:val="Normal"/>
    <w:qFormat/>
  </w:style>
  <w:style w:type="table" w:styleId="104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45" w:default="1">
    <w:name w:val="No List"/>
    <w:uiPriority w:val="99"/>
    <w:semiHidden/>
    <w:unhideWhenUsed/>
  </w:style>
  <w:style w:type="paragraph" w:styleId="1046">
    <w:name w:val="No Spacing"/>
    <w:basedOn w:val="1043"/>
    <w:uiPriority w:val="1"/>
    <w:qFormat/>
    <w:pPr>
      <w:spacing w:after="0" w:line="240" w:lineRule="auto"/>
    </w:pPr>
  </w:style>
  <w:style w:type="paragraph" w:styleId="1047">
    <w:name w:val="List Paragraph"/>
    <w:basedOn w:val="1043"/>
    <w:uiPriority w:val="34"/>
    <w:qFormat/>
    <w:pPr>
      <w:contextualSpacing/>
      <w:ind w:left="720"/>
    </w:pPr>
  </w:style>
  <w:style w:type="character" w:styleId="1048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popis2022.stat.gov.rs/sr-Latn/popisni-podaci-eksel-tabele/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2025-01-10T14:26:28Z</dcterms:modified>
</cp:coreProperties>
</file>